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01"/>
        <w:tblW w:w="11486" w:type="dxa"/>
        <w:tblLook w:val="04A0"/>
      </w:tblPr>
      <w:tblGrid>
        <w:gridCol w:w="2062"/>
        <w:gridCol w:w="1910"/>
        <w:gridCol w:w="85"/>
        <w:gridCol w:w="1841"/>
        <w:gridCol w:w="1855"/>
        <w:gridCol w:w="1847"/>
        <w:gridCol w:w="1886"/>
      </w:tblGrid>
      <w:tr w:rsidR="00420148" w:rsidTr="00037BB0">
        <w:trPr>
          <w:trHeight w:val="365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Daily Agenda</w:t>
            </w:r>
          </w:p>
        </w:tc>
        <w:tc>
          <w:tcPr>
            <w:tcW w:w="1956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9/9/13</w:t>
            </w:r>
          </w:p>
        </w:tc>
        <w:tc>
          <w:tcPr>
            <w:tcW w:w="1980" w:type="dxa"/>
            <w:gridSpan w:val="2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 9/10/13</w:t>
            </w:r>
          </w:p>
        </w:tc>
        <w:tc>
          <w:tcPr>
            <w:tcW w:w="1890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9/11/13</w:t>
            </w:r>
          </w:p>
        </w:tc>
        <w:tc>
          <w:tcPr>
            <w:tcW w:w="1890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9/12/13</w:t>
            </w:r>
          </w:p>
        </w:tc>
        <w:tc>
          <w:tcPr>
            <w:tcW w:w="1928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 9/13/13</w:t>
            </w:r>
          </w:p>
        </w:tc>
      </w:tr>
      <w:tr w:rsidR="00A530C4" w:rsidTr="00037BB0">
        <w:trPr>
          <w:trHeight w:val="345"/>
        </w:trPr>
        <w:tc>
          <w:tcPr>
            <w:tcW w:w="11486" w:type="dxa"/>
            <w:gridSpan w:val="7"/>
          </w:tcPr>
          <w:p w:rsidR="00A530C4" w:rsidRPr="00A530C4" w:rsidRDefault="00A530C4" w:rsidP="00A530C4">
            <w:r w:rsidRPr="007B5F19">
              <w:rPr>
                <w:rFonts w:ascii="Arial" w:hAnsi="Arial" w:cs="Arial"/>
                <w:b/>
              </w:rPr>
              <w:t xml:space="preserve">Unit Vocabulary: </w:t>
            </w:r>
            <w:r w:rsidRPr="007B5F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0C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6FE4">
              <w:t xml:space="preserve"> Excise Tax, National Bank of the United States, Strict Construction, Loose Construction, The Whiskey Re</w:t>
            </w:r>
            <w:r w:rsidR="00E11B2A">
              <w:t xml:space="preserve">bellion, </w:t>
            </w:r>
            <w:r w:rsidRPr="00D66FE4">
              <w:t xml:space="preserve"> Feder</w:t>
            </w:r>
            <w:r>
              <w:t xml:space="preserve">alists, Democratic-Republicans, </w:t>
            </w:r>
            <w:r w:rsidRPr="00D66FE4">
              <w:t>Washington’s Neutr</w:t>
            </w:r>
            <w:r>
              <w:t xml:space="preserve">ality Proclamation, </w:t>
            </w:r>
            <w:r w:rsidRPr="00D66FE4">
              <w:t>Assimil</w:t>
            </w:r>
            <w:r>
              <w:t xml:space="preserve">ation, </w:t>
            </w:r>
            <w:r w:rsidRPr="00D66FE4">
              <w:t>Washington’s Fare</w:t>
            </w:r>
            <w:r>
              <w:t xml:space="preserve">well Address, </w:t>
            </w:r>
            <w:r w:rsidRPr="00D66FE4">
              <w:t>John Adams, Thomas Jef</w:t>
            </w:r>
            <w:r>
              <w:t xml:space="preserve">ferson, XYZ Affair, </w:t>
            </w:r>
            <w:r w:rsidRPr="00D66FE4">
              <w:t xml:space="preserve"> Alien and Sedition Acts, Kentucky and Virginia Resolutions, Election of 1800, Louisiana Purchase, Lewis and Clark Expedition, Sacajawea, </w:t>
            </w:r>
            <w:proofErr w:type="spellStart"/>
            <w:r w:rsidRPr="00D66FE4">
              <w:t>Marbury</w:t>
            </w:r>
            <w:proofErr w:type="spellEnd"/>
            <w:r w:rsidRPr="00D66FE4">
              <w:t xml:space="preserve"> v. Madison, Judicial Review, of 1812, Andrew Jackson, Treaty of Ghent, Battle of New Orleans, James Monroe, Era of Good Feelings, Sectionalism, Monroe Doctrine, Henry Clay, War Hawks, John Calhoun</w:t>
            </w:r>
            <w:r>
              <w:t>, Nationalism, Missouri Compromise, Second Bank of the United States, Daniel Webster,  Nullification, Spoils System</w:t>
            </w:r>
          </w:p>
        </w:tc>
      </w:tr>
      <w:tr w:rsidR="00420148" w:rsidTr="00037BB0">
        <w:trPr>
          <w:trHeight w:val="1142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Learning Target</w:t>
            </w:r>
          </w:p>
        </w:tc>
        <w:tc>
          <w:tcPr>
            <w:tcW w:w="2046" w:type="dxa"/>
            <w:gridSpan w:val="2"/>
          </w:tcPr>
          <w:p w:rsidR="00A530C4" w:rsidRPr="0065309F" w:rsidRDefault="00A530C4" w:rsidP="00037B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3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B2A">
              <w:rPr>
                <w:rFonts w:ascii="Arial" w:hAnsi="Arial" w:cs="Arial"/>
                <w:sz w:val="16"/>
                <w:szCs w:val="16"/>
              </w:rPr>
              <w:t>identify the causes of the War of 1812.</w:t>
            </w:r>
          </w:p>
        </w:tc>
        <w:tc>
          <w:tcPr>
            <w:tcW w:w="1890" w:type="dxa"/>
          </w:tcPr>
          <w:p w:rsidR="00A530C4" w:rsidRPr="008E41D5" w:rsidRDefault="00A530C4" w:rsidP="00A530C4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E41D5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8E41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D63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B2A">
              <w:rPr>
                <w:rFonts w:ascii="Arial" w:hAnsi="Arial" w:cs="Arial"/>
                <w:sz w:val="16"/>
                <w:szCs w:val="16"/>
              </w:rPr>
              <w:t>discuss the events of the War of 1812.</w:t>
            </w:r>
          </w:p>
        </w:tc>
        <w:tc>
          <w:tcPr>
            <w:tcW w:w="1890" w:type="dxa"/>
          </w:tcPr>
          <w:p w:rsidR="00A530C4" w:rsidRPr="008E41D5" w:rsidRDefault="00A530C4" w:rsidP="00A530C4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E41D5">
              <w:rPr>
                <w:rFonts w:ascii="Arial" w:hAnsi="Arial" w:cs="Arial"/>
                <w:b/>
                <w:sz w:val="16"/>
                <w:szCs w:val="16"/>
              </w:rPr>
              <w:t xml:space="preserve">I can: </w:t>
            </w:r>
            <w:r w:rsidRPr="008E41D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43E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1B2A" w:rsidRPr="00E11B2A">
              <w:rPr>
                <w:rFonts w:ascii="Arial" w:hAnsi="Arial" w:cs="Arial"/>
                <w:color w:val="000000"/>
                <w:sz w:val="16"/>
                <w:szCs w:val="16"/>
              </w:rPr>
              <w:t>evaluate the outcome of the War of 1812 and its impact on U.S. foreign policy.</w:t>
            </w:r>
          </w:p>
        </w:tc>
        <w:tc>
          <w:tcPr>
            <w:tcW w:w="1890" w:type="dxa"/>
          </w:tcPr>
          <w:p w:rsidR="00A530C4" w:rsidRPr="00CF7640" w:rsidRDefault="00A530C4" w:rsidP="00A530C4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CF7640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CF76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="00420148" w:rsidRPr="00420148">
              <w:rPr>
                <w:rFonts w:ascii="Arial" w:hAnsi="Arial" w:cs="Arial"/>
                <w:sz w:val="16"/>
                <w:szCs w:val="16"/>
              </w:rPr>
              <w:t>describe the foreign and domestic policies during the Era of Good Feelings.</w:t>
            </w:r>
          </w:p>
        </w:tc>
        <w:tc>
          <w:tcPr>
            <w:tcW w:w="1928" w:type="dxa"/>
          </w:tcPr>
          <w:p w:rsidR="00A530C4" w:rsidRPr="0065309F" w:rsidRDefault="00A530C4" w:rsidP="00A530C4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A2573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420148" w:rsidRPr="00420148">
              <w:rPr>
                <w:rFonts w:ascii="Arial" w:hAnsi="Arial" w:cs="Arial"/>
                <w:sz w:val="16"/>
                <w:szCs w:val="16"/>
              </w:rPr>
              <w:t xml:space="preserve"> describe the foreign and domestic policies during the Era of Good Feelings.</w:t>
            </w:r>
          </w:p>
        </w:tc>
      </w:tr>
      <w:tr w:rsidR="00A530C4" w:rsidTr="00037BB0">
        <w:trPr>
          <w:trHeight w:val="905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</w:rPr>
            </w:pPr>
            <w:r w:rsidRPr="007B5F19">
              <w:rPr>
                <w:rFonts w:ascii="Arial" w:hAnsi="Arial" w:cs="Arial"/>
                <w:b/>
              </w:rPr>
              <w:t>Quality Core</w:t>
            </w:r>
          </w:p>
        </w:tc>
        <w:tc>
          <w:tcPr>
            <w:tcW w:w="9644" w:type="dxa"/>
            <w:gridSpan w:val="6"/>
          </w:tcPr>
          <w:p w:rsidR="00A530C4" w:rsidRPr="00A530C4" w:rsidRDefault="00A530C4" w:rsidP="00A5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30C4" w:rsidRPr="00A530C4" w:rsidRDefault="00A530C4" w:rsidP="00A53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0C4">
              <w:rPr>
                <w:rFonts w:ascii="Arial" w:hAnsi="Arial" w:cs="Arial"/>
                <w:color w:val="000000"/>
                <w:sz w:val="20"/>
                <w:szCs w:val="20"/>
              </w:rPr>
              <w:t>Identify and evaluate the political and territorial changes resulting from westward expansion of the United States in the early nineteenth century.</w:t>
            </w:r>
          </w:p>
          <w:p w:rsidR="00A530C4" w:rsidRPr="00A530C4" w:rsidRDefault="00A530C4" w:rsidP="00A53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0C4">
              <w:rPr>
                <w:rFonts w:ascii="Arial" w:hAnsi="Arial" w:cs="Arial"/>
                <w:color w:val="000000"/>
                <w:sz w:val="20"/>
                <w:szCs w:val="20"/>
              </w:rPr>
              <w:t>Analyze and evaluate federal and state policies toward American Indians in the first half of the nineteenth century.</w:t>
            </w:r>
          </w:p>
          <w:p w:rsidR="00A530C4" w:rsidRPr="00343E30" w:rsidRDefault="00A530C4" w:rsidP="00A530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E30">
              <w:rPr>
                <w:rFonts w:ascii="Arial" w:hAnsi="Arial" w:cs="Arial"/>
                <w:color w:val="000000"/>
                <w:sz w:val="20"/>
                <w:szCs w:val="20"/>
              </w:rPr>
              <w:t>Evaluate, take, and defend positions on the development of U.S. foreign policy during the early nineteenth century (e.g., Embargo Act, Monroe Doctrine).</w:t>
            </w:r>
          </w:p>
          <w:p w:rsidR="00A530C4" w:rsidRPr="00A530C4" w:rsidRDefault="00A530C4" w:rsidP="00A530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0148" w:rsidTr="00037BB0">
        <w:trPr>
          <w:trHeight w:val="413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Instructional Practices</w:t>
            </w:r>
          </w:p>
        </w:tc>
        <w:tc>
          <w:tcPr>
            <w:tcW w:w="2046" w:type="dxa"/>
            <w:gridSpan w:val="2"/>
          </w:tcPr>
          <w:p w:rsidR="00A530C4" w:rsidRPr="00055C66" w:rsidRDefault="00420148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Video/notes</w:t>
            </w:r>
            <w:r w:rsidR="00E11B2A">
              <w:rPr>
                <w:rFonts w:ascii="Arial" w:hAnsi="Arial" w:cs="Arial"/>
                <w:sz w:val="20"/>
                <w:szCs w:val="20"/>
              </w:rPr>
              <w:t>; notes; discussion</w:t>
            </w:r>
          </w:p>
        </w:tc>
        <w:tc>
          <w:tcPr>
            <w:tcW w:w="1890" w:type="dxa"/>
          </w:tcPr>
          <w:p w:rsidR="00A530C4" w:rsidRPr="00055C66" w:rsidRDefault="00392403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Notes; discussion; guided reading</w:t>
            </w:r>
          </w:p>
        </w:tc>
        <w:tc>
          <w:tcPr>
            <w:tcW w:w="1890" w:type="dxa"/>
          </w:tcPr>
          <w:p w:rsidR="00A530C4" w:rsidRPr="00055C66" w:rsidRDefault="00420148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viewing guide</w:t>
            </w:r>
          </w:p>
        </w:tc>
        <w:tc>
          <w:tcPr>
            <w:tcW w:w="1890" w:type="dxa"/>
          </w:tcPr>
          <w:p w:rsidR="00A530C4" w:rsidRPr="00055C66" w:rsidRDefault="00FE68F2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Video; cooperative groups</w:t>
            </w:r>
          </w:p>
        </w:tc>
        <w:tc>
          <w:tcPr>
            <w:tcW w:w="1928" w:type="dxa"/>
          </w:tcPr>
          <w:p w:rsidR="00A530C4" w:rsidRPr="00055C66" w:rsidRDefault="00FE68F2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</w:tr>
      <w:tr w:rsidR="00420148" w:rsidTr="00037BB0">
        <w:trPr>
          <w:trHeight w:val="4013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Bell Ringer</w:t>
            </w:r>
          </w:p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</w:p>
          <w:p w:rsidR="00A530C4" w:rsidRDefault="00A530C4" w:rsidP="00037BB0">
            <w:pPr>
              <w:rPr>
                <w:rFonts w:ascii="Arial" w:hAnsi="Arial" w:cs="Arial"/>
                <w:b/>
              </w:rPr>
            </w:pPr>
          </w:p>
          <w:p w:rsidR="00A530C4" w:rsidRDefault="00A530C4" w:rsidP="00037BB0">
            <w:pPr>
              <w:rPr>
                <w:rFonts w:ascii="Arial" w:hAnsi="Arial" w:cs="Arial"/>
                <w:b/>
              </w:rPr>
            </w:pPr>
          </w:p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Activities/ Assignments</w:t>
            </w:r>
          </w:p>
        </w:tc>
        <w:tc>
          <w:tcPr>
            <w:tcW w:w="2046" w:type="dxa"/>
            <w:gridSpan w:val="2"/>
          </w:tcPr>
          <w:p w:rsidR="00A530C4" w:rsidRDefault="00E11B2A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Briefly describe the following terms: Whiskey Rebellion, XYZ Affair, Alien and Sedition Acts, Louisiana Purchase.</w:t>
            </w:r>
          </w:p>
          <w:p w:rsidR="00E11B2A" w:rsidRDefault="00E11B2A" w:rsidP="00037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B2A" w:rsidRDefault="00E11B2A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Video: James Madison</w:t>
            </w:r>
          </w:p>
          <w:p w:rsidR="00E11B2A" w:rsidRDefault="00E11B2A" w:rsidP="00037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B2A" w:rsidRPr="00055C66" w:rsidRDefault="00E11B2A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 Causes of the War of 1812</w:t>
            </w:r>
          </w:p>
        </w:tc>
        <w:tc>
          <w:tcPr>
            <w:tcW w:w="1890" w:type="dxa"/>
          </w:tcPr>
          <w:p w:rsidR="00A530C4" w:rsidRPr="00420148" w:rsidRDefault="00392403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420148">
              <w:rPr>
                <w:rFonts w:ascii="Arial" w:hAnsi="Arial" w:cs="Arial"/>
                <w:sz w:val="20"/>
                <w:szCs w:val="20"/>
              </w:rPr>
              <w:t>Which of the four causes of the War of 1812 do you believe had the biggest impact on the U.S. declaring war?  Explain.</w:t>
            </w:r>
          </w:p>
          <w:p w:rsidR="00392403" w:rsidRPr="00420148" w:rsidRDefault="00392403" w:rsidP="00037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403" w:rsidRPr="00420148" w:rsidRDefault="00392403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420148">
              <w:rPr>
                <w:rFonts w:ascii="Arial" w:hAnsi="Arial" w:cs="Arial"/>
                <w:sz w:val="20"/>
                <w:szCs w:val="20"/>
              </w:rPr>
              <w:t>Notes: War of 1812</w:t>
            </w:r>
          </w:p>
          <w:p w:rsidR="00392403" w:rsidRPr="00420148" w:rsidRDefault="00392403" w:rsidP="00037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403" w:rsidRPr="00055C66" w:rsidRDefault="00392403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420148"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90" w:type="dxa"/>
          </w:tcPr>
          <w:p w:rsidR="00A530C4" w:rsidRDefault="00420148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did the Battle of New Orleans occur after the Treaty of Ghent was signed? </w:t>
            </w:r>
          </w:p>
          <w:p w:rsidR="00420148" w:rsidRDefault="00420148" w:rsidP="00037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148" w:rsidRDefault="00420148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viewing guide: Documentary of the War of 1812</w:t>
            </w:r>
          </w:p>
          <w:p w:rsidR="00420148" w:rsidRPr="00055C66" w:rsidRDefault="00420148" w:rsidP="0003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530C4" w:rsidRDefault="00FE68F2" w:rsidP="00FE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ways do you predict that the War of 1812 will influence the United States?  Provide two specific examples.</w:t>
            </w:r>
          </w:p>
          <w:p w:rsidR="00FE68F2" w:rsidRDefault="00FE68F2" w:rsidP="00FE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8F2" w:rsidRDefault="00FE68F2" w:rsidP="00FE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Video: The Presidents (Madison and Monroe)</w:t>
            </w:r>
          </w:p>
          <w:p w:rsidR="00FE68F2" w:rsidRDefault="00FE68F2" w:rsidP="00FE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8F2" w:rsidRPr="00FE68F2" w:rsidRDefault="00FE68F2" w:rsidP="00FE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Cooperative Groups: Mind Map “The Era of Good Feelings”</w:t>
            </w:r>
          </w:p>
        </w:tc>
        <w:tc>
          <w:tcPr>
            <w:tcW w:w="1928" w:type="dxa"/>
          </w:tcPr>
          <w:p w:rsidR="00A530C4" w:rsidRDefault="00FE68F2" w:rsidP="00A5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Briefly describe: Monroe Doctrine and  the Missouri Compromise of 1820</w:t>
            </w:r>
          </w:p>
          <w:p w:rsidR="00FE68F2" w:rsidRDefault="00FE68F2" w:rsidP="00A53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8F2" w:rsidRDefault="00FE68F2" w:rsidP="00A5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Reading: The Era of Good Feelings</w:t>
            </w:r>
          </w:p>
          <w:p w:rsidR="00FE68F2" w:rsidRDefault="00FE68F2" w:rsidP="00A53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8F2" w:rsidRPr="00055C66" w:rsidRDefault="00FE68F2" w:rsidP="00A53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148" w:rsidTr="00037BB0">
        <w:trPr>
          <w:trHeight w:val="365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 xml:space="preserve">Exit </w:t>
            </w:r>
          </w:p>
        </w:tc>
        <w:tc>
          <w:tcPr>
            <w:tcW w:w="2046" w:type="dxa"/>
            <w:gridSpan w:val="2"/>
          </w:tcPr>
          <w:p w:rsidR="00A530C4" w:rsidRPr="00FE68F2" w:rsidRDefault="00E11B2A" w:rsidP="00037BB0">
            <w:pPr>
              <w:rPr>
                <w:rFonts w:ascii="Arial" w:hAnsi="Arial" w:cs="Arial"/>
                <w:sz w:val="16"/>
                <w:szCs w:val="16"/>
              </w:rPr>
            </w:pPr>
            <w:r w:rsidRPr="00FE68F2">
              <w:rPr>
                <w:rFonts w:ascii="Arial" w:hAnsi="Arial" w:cs="Arial"/>
                <w:sz w:val="16"/>
                <w:szCs w:val="16"/>
              </w:rPr>
              <w:t>List the four causes of the War of 1812 and describe one of the causes.</w:t>
            </w:r>
          </w:p>
        </w:tc>
        <w:tc>
          <w:tcPr>
            <w:tcW w:w="1890" w:type="dxa"/>
          </w:tcPr>
          <w:p w:rsidR="00A530C4" w:rsidRPr="00FE68F2" w:rsidRDefault="00420148" w:rsidP="00037BB0">
            <w:pPr>
              <w:rPr>
                <w:rFonts w:ascii="Arial" w:hAnsi="Arial" w:cs="Arial"/>
                <w:sz w:val="16"/>
                <w:szCs w:val="16"/>
              </w:rPr>
            </w:pPr>
            <w:r w:rsidRPr="00FE68F2">
              <w:rPr>
                <w:rFonts w:ascii="Arial" w:hAnsi="Arial" w:cs="Arial"/>
                <w:sz w:val="16"/>
                <w:szCs w:val="16"/>
              </w:rPr>
              <w:t>What are three main events that could be considered turning points during the war?  Explain</w:t>
            </w:r>
            <w:proofErr w:type="gramStart"/>
            <w:r w:rsidRPr="00FE68F2">
              <w:rPr>
                <w:rFonts w:ascii="Arial" w:hAnsi="Arial" w:cs="Arial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890" w:type="dxa"/>
          </w:tcPr>
          <w:p w:rsidR="00A530C4" w:rsidRPr="00FE68F2" w:rsidRDefault="00420148" w:rsidP="00037BB0">
            <w:pPr>
              <w:rPr>
                <w:rFonts w:ascii="Arial" w:hAnsi="Arial" w:cs="Arial"/>
                <w:sz w:val="16"/>
                <w:szCs w:val="16"/>
              </w:rPr>
            </w:pPr>
            <w:r w:rsidRPr="00FE68F2">
              <w:rPr>
                <w:rFonts w:ascii="Arial" w:hAnsi="Arial" w:cs="Arial"/>
                <w:sz w:val="16"/>
                <w:szCs w:val="16"/>
              </w:rPr>
              <w:t>What were the terms of the Treaty of Ghent?</w:t>
            </w:r>
          </w:p>
        </w:tc>
        <w:tc>
          <w:tcPr>
            <w:tcW w:w="1890" w:type="dxa"/>
          </w:tcPr>
          <w:p w:rsidR="00A530C4" w:rsidRPr="00FE68F2" w:rsidRDefault="00FE68F2" w:rsidP="00037BB0">
            <w:pPr>
              <w:rPr>
                <w:rFonts w:ascii="Arial" w:hAnsi="Arial" w:cs="Arial"/>
                <w:sz w:val="16"/>
                <w:szCs w:val="16"/>
              </w:rPr>
            </w:pPr>
            <w:r w:rsidRPr="00FE68F2">
              <w:rPr>
                <w:rFonts w:ascii="Arial" w:hAnsi="Arial" w:cs="Arial"/>
                <w:sz w:val="16"/>
                <w:szCs w:val="16"/>
              </w:rPr>
              <w:t>In what ways does the Monroe Doctrine follow the foreign policies of George Washington?  Explain.</w:t>
            </w:r>
          </w:p>
        </w:tc>
        <w:tc>
          <w:tcPr>
            <w:tcW w:w="1928" w:type="dxa"/>
          </w:tcPr>
          <w:p w:rsidR="00A530C4" w:rsidRPr="00FE68F2" w:rsidRDefault="00FE68F2" w:rsidP="00037BB0">
            <w:pPr>
              <w:rPr>
                <w:rFonts w:ascii="Arial" w:hAnsi="Arial" w:cs="Arial"/>
                <w:sz w:val="16"/>
                <w:szCs w:val="16"/>
              </w:rPr>
            </w:pPr>
            <w:r w:rsidRPr="00FE68F2">
              <w:rPr>
                <w:rFonts w:ascii="Arial" w:hAnsi="Arial" w:cs="Arial"/>
                <w:sz w:val="16"/>
                <w:szCs w:val="16"/>
              </w:rPr>
              <w:t>In your opinion, is the Era of Good Feelings an accurate description of the time period following the War of 1812?  Explain.</w:t>
            </w:r>
          </w:p>
        </w:tc>
      </w:tr>
      <w:tr w:rsidR="00420148" w:rsidTr="00FE68F2">
        <w:trPr>
          <w:trHeight w:val="410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Intended Homework</w:t>
            </w:r>
          </w:p>
        </w:tc>
        <w:tc>
          <w:tcPr>
            <w:tcW w:w="2046" w:type="dxa"/>
            <w:gridSpan w:val="2"/>
          </w:tcPr>
          <w:p w:rsidR="00A530C4" w:rsidRPr="00055C66" w:rsidRDefault="00E11B2A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Vocabulary</w:t>
            </w:r>
          </w:p>
        </w:tc>
        <w:tc>
          <w:tcPr>
            <w:tcW w:w="1890" w:type="dxa"/>
          </w:tcPr>
          <w:p w:rsidR="00A530C4" w:rsidRPr="00231B74" w:rsidRDefault="00E11B2A" w:rsidP="0003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Reading: War of 1812</w:t>
            </w:r>
          </w:p>
        </w:tc>
        <w:tc>
          <w:tcPr>
            <w:tcW w:w="1890" w:type="dxa"/>
          </w:tcPr>
          <w:p w:rsidR="00A530C4" w:rsidRPr="00231B74" w:rsidRDefault="00E11B2A" w:rsidP="00037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Reading: War of 1812</w:t>
            </w:r>
          </w:p>
        </w:tc>
        <w:tc>
          <w:tcPr>
            <w:tcW w:w="1890" w:type="dxa"/>
          </w:tcPr>
          <w:p w:rsidR="00A530C4" w:rsidRPr="00933CF8" w:rsidRDefault="00A530C4" w:rsidP="00037BB0">
            <w:pPr>
              <w:rPr>
                <w:rFonts w:ascii="Arial" w:hAnsi="Arial" w:cs="Arial"/>
                <w:sz w:val="18"/>
                <w:szCs w:val="18"/>
              </w:rPr>
            </w:pPr>
            <w:r w:rsidRPr="00933CF8">
              <w:rPr>
                <w:rFonts w:ascii="Arial" w:hAnsi="Arial" w:cs="Arial"/>
                <w:sz w:val="18"/>
                <w:szCs w:val="18"/>
              </w:rPr>
              <w:t>Unit 2 Vocabulary</w:t>
            </w:r>
          </w:p>
        </w:tc>
        <w:tc>
          <w:tcPr>
            <w:tcW w:w="1928" w:type="dxa"/>
          </w:tcPr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Vocabulary</w:t>
            </w:r>
          </w:p>
        </w:tc>
      </w:tr>
      <w:tr w:rsidR="00A530C4" w:rsidTr="00037BB0">
        <w:trPr>
          <w:trHeight w:val="341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Accommodations</w:t>
            </w:r>
          </w:p>
        </w:tc>
        <w:tc>
          <w:tcPr>
            <w:tcW w:w="9644" w:type="dxa"/>
            <w:gridSpan w:val="6"/>
          </w:tcPr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Written and oral directions; reading out loud; prompting; ability based groups; extended time.</w:t>
            </w:r>
          </w:p>
        </w:tc>
      </w:tr>
      <w:tr w:rsidR="00420148" w:rsidTr="00037BB0">
        <w:trPr>
          <w:trHeight w:val="365"/>
        </w:trPr>
        <w:tc>
          <w:tcPr>
            <w:tcW w:w="1842" w:type="dxa"/>
          </w:tcPr>
          <w:p w:rsidR="00A530C4" w:rsidRPr="007B5F19" w:rsidRDefault="00A530C4" w:rsidP="00037BB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Assessment:</w:t>
            </w:r>
          </w:p>
          <w:p w:rsidR="00A530C4" w:rsidRPr="007B5F19" w:rsidRDefault="00A530C4" w:rsidP="00037BB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 xml:space="preserve">S: Unit Exam </w:t>
            </w:r>
            <w:r>
              <w:rPr>
                <w:rFonts w:ascii="Arial" w:hAnsi="Arial" w:cs="Arial"/>
                <w:sz w:val="20"/>
                <w:szCs w:val="20"/>
              </w:rPr>
              <w:t>9/20</w:t>
            </w:r>
          </w:p>
        </w:tc>
        <w:tc>
          <w:tcPr>
            <w:tcW w:w="1890" w:type="dxa"/>
          </w:tcPr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9/20</w:t>
            </w:r>
          </w:p>
        </w:tc>
        <w:tc>
          <w:tcPr>
            <w:tcW w:w="1890" w:type="dxa"/>
          </w:tcPr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9/20</w:t>
            </w:r>
          </w:p>
        </w:tc>
        <w:tc>
          <w:tcPr>
            <w:tcW w:w="1928" w:type="dxa"/>
          </w:tcPr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 w:rsidRPr="00055C66">
              <w:rPr>
                <w:rFonts w:ascii="Arial" w:hAnsi="Arial" w:cs="Arial"/>
                <w:sz w:val="20"/>
                <w:szCs w:val="20"/>
              </w:rPr>
              <w:t>F: Exit Slip</w:t>
            </w:r>
          </w:p>
          <w:p w:rsidR="00A530C4" w:rsidRPr="00055C66" w:rsidRDefault="00A530C4" w:rsidP="0003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Unit Exam 9/20</w:t>
            </w:r>
          </w:p>
        </w:tc>
      </w:tr>
    </w:tbl>
    <w:p w:rsidR="0085698E" w:rsidRDefault="0085698E"/>
    <w:sectPr w:rsidR="0085698E" w:rsidSect="008569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C4" w:rsidRDefault="00A530C4" w:rsidP="00A530C4">
      <w:pPr>
        <w:spacing w:after="0" w:line="240" w:lineRule="auto"/>
      </w:pPr>
      <w:r>
        <w:separator/>
      </w:r>
    </w:p>
  </w:endnote>
  <w:endnote w:type="continuationSeparator" w:id="0">
    <w:p w:rsidR="00A530C4" w:rsidRDefault="00A530C4" w:rsidP="00A5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C4" w:rsidRPr="00941B28" w:rsidRDefault="00A530C4" w:rsidP="00A530C4">
    <w:pPr>
      <w:pStyle w:val="Footer"/>
      <w:jc w:val="center"/>
      <w:rPr>
        <w:rFonts w:ascii="Arial Narrow" w:hAnsi="Arial Narrow"/>
      </w:rPr>
    </w:pPr>
    <w:r w:rsidRPr="00941B28">
      <w:rPr>
        <w:rFonts w:ascii="Arial Narrow" w:hAnsi="Arial Narrow"/>
      </w:rPr>
      <w:t>U.S. History: Taking it to the next level</w:t>
    </w:r>
  </w:p>
  <w:p w:rsidR="00A530C4" w:rsidRDefault="00A53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C4" w:rsidRDefault="00A530C4" w:rsidP="00A530C4">
      <w:pPr>
        <w:spacing w:after="0" w:line="240" w:lineRule="auto"/>
      </w:pPr>
      <w:r>
        <w:separator/>
      </w:r>
    </w:p>
  </w:footnote>
  <w:footnote w:type="continuationSeparator" w:id="0">
    <w:p w:rsidR="00A530C4" w:rsidRDefault="00A530C4" w:rsidP="00A5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C4" w:rsidRPr="00941B28" w:rsidRDefault="00A530C4" w:rsidP="00A530C4">
    <w:pPr>
      <w:pStyle w:val="Header"/>
      <w:rPr>
        <w:rFonts w:ascii="Arial Narrow" w:hAnsi="Arial Narrow"/>
      </w:rPr>
    </w:pPr>
    <w:r w:rsidRPr="00941B28">
      <w:rPr>
        <w:rFonts w:ascii="Arial Narrow" w:hAnsi="Arial Narrow"/>
      </w:rPr>
      <w:t xml:space="preserve">Lesson Plans: US History      PLC Members: </w:t>
    </w:r>
    <w:proofErr w:type="spellStart"/>
    <w:r w:rsidRPr="00941B28">
      <w:rPr>
        <w:rFonts w:ascii="Arial Narrow" w:hAnsi="Arial Narrow"/>
      </w:rPr>
      <w:t>VanVactor</w:t>
    </w:r>
    <w:proofErr w:type="spellEnd"/>
    <w:r>
      <w:rPr>
        <w:rFonts w:ascii="Arial Narrow" w:hAnsi="Arial Narrow"/>
      </w:rPr>
      <w:t>, Ledford, Hamblen        Unit 2: Building</w:t>
    </w:r>
    <w:r w:rsidRPr="00941B28">
      <w:rPr>
        <w:rFonts w:ascii="Arial Narrow" w:hAnsi="Arial Narrow"/>
      </w:rPr>
      <w:t xml:space="preserve"> a New Nation</w:t>
    </w:r>
  </w:p>
  <w:p w:rsidR="00A530C4" w:rsidRDefault="00A530C4">
    <w:pPr>
      <w:pStyle w:val="Header"/>
    </w:pPr>
  </w:p>
  <w:p w:rsidR="00A530C4" w:rsidRDefault="00A53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780"/>
    <w:multiLevelType w:val="hybridMultilevel"/>
    <w:tmpl w:val="735C09B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53E"/>
    <w:multiLevelType w:val="hybridMultilevel"/>
    <w:tmpl w:val="6B20454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897"/>
    <w:multiLevelType w:val="hybridMultilevel"/>
    <w:tmpl w:val="85BAA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A24EE"/>
    <w:multiLevelType w:val="hybridMultilevel"/>
    <w:tmpl w:val="E8F24C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E72DB"/>
    <w:multiLevelType w:val="hybridMultilevel"/>
    <w:tmpl w:val="7FE02C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0C4"/>
    <w:rsid w:val="00392403"/>
    <w:rsid w:val="00420148"/>
    <w:rsid w:val="007C1FEC"/>
    <w:rsid w:val="0085698E"/>
    <w:rsid w:val="00A530C4"/>
    <w:rsid w:val="00E11B2A"/>
    <w:rsid w:val="00E83E43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0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30C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30C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5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C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5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0C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C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dcterms:created xsi:type="dcterms:W3CDTF">2013-09-08T22:10:00Z</dcterms:created>
  <dcterms:modified xsi:type="dcterms:W3CDTF">2013-09-13T21:26:00Z</dcterms:modified>
</cp:coreProperties>
</file>